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141DF" w14:textId="7274FB7E" w:rsidR="007C3A3C" w:rsidRPr="00FB7CEB" w:rsidRDefault="007C3A3C" w:rsidP="007C3A3C">
      <w:pPr>
        <w:spacing w:after="120" w:line="276" w:lineRule="auto"/>
        <w:ind w:right="-285" w:hanging="426"/>
        <w:jc w:val="center"/>
        <w:rPr>
          <w:rFonts w:ascii="Times New Roman" w:hAnsi="Times New Roman" w:cs="Times New Roman"/>
          <w:b/>
          <w:bCs/>
          <w:sz w:val="28"/>
          <w:szCs w:val="28"/>
        </w:rPr>
      </w:pPr>
      <w:r w:rsidRPr="00FB7CEB">
        <w:rPr>
          <w:rFonts w:ascii="Times New Roman" w:hAnsi="Times New Roman" w:cs="Times New Roman"/>
          <w:b/>
          <w:bCs/>
          <w:sz w:val="28"/>
          <w:szCs w:val="28"/>
        </w:rPr>
        <w:t xml:space="preserve">Văn bản so sánh thay đổi chỉnh sửa QCVN 02A:2020 Quy chuẩn kỹ thuật về hàm lượng thuỷ ngân trong đèn huỳnh </w:t>
      </w:r>
    </w:p>
    <w:p w14:paraId="4C127096" w14:textId="77777777" w:rsidR="007C3A3C" w:rsidRPr="000D6ED6" w:rsidRDefault="007C3A3C" w:rsidP="007C3A3C">
      <w:pPr>
        <w:spacing w:after="120" w:line="276" w:lineRule="auto"/>
        <w:ind w:right="-285" w:hanging="426"/>
        <w:jc w:val="center"/>
        <w:rPr>
          <w:rFonts w:ascii="Times New Roman" w:hAnsi="Times New Roman" w:cs="Times New Roman"/>
          <w:b/>
          <w:bCs/>
        </w:rPr>
      </w:pPr>
      <w:r>
        <w:t xml:space="preserve"> </w:t>
      </w:r>
    </w:p>
    <w:tbl>
      <w:tblPr>
        <w:tblStyle w:val="TableGrid"/>
        <w:tblW w:w="0" w:type="auto"/>
        <w:tblLook w:val="04A0" w:firstRow="1" w:lastRow="0" w:firstColumn="1" w:lastColumn="0" w:noHBand="0" w:noVBand="1"/>
      </w:tblPr>
      <w:tblGrid>
        <w:gridCol w:w="823"/>
        <w:gridCol w:w="1689"/>
        <w:gridCol w:w="4004"/>
        <w:gridCol w:w="4835"/>
        <w:gridCol w:w="2642"/>
      </w:tblGrid>
      <w:tr w:rsidR="007C3A3C" w:rsidRPr="00100C20" w14:paraId="3D04FCA9" w14:textId="77777777" w:rsidTr="004B0F2A">
        <w:trPr>
          <w:trHeight w:val="498"/>
        </w:trPr>
        <w:tc>
          <w:tcPr>
            <w:tcW w:w="823" w:type="dxa"/>
            <w:vAlign w:val="center"/>
          </w:tcPr>
          <w:p w14:paraId="4BFDF311" w14:textId="5D412EE8" w:rsidR="007C3A3C" w:rsidRPr="00100C20" w:rsidRDefault="007C3A3C" w:rsidP="004B0F2A">
            <w:pPr>
              <w:spacing w:after="120" w:line="276" w:lineRule="auto"/>
              <w:ind w:left="57" w:right="57"/>
              <w:jc w:val="center"/>
              <w:rPr>
                <w:rFonts w:ascii="Times New Roman" w:hAnsi="Times New Roman" w:cs="Times New Roman"/>
                <w:b/>
                <w:bCs/>
                <w:sz w:val="26"/>
                <w:szCs w:val="26"/>
              </w:rPr>
            </w:pPr>
            <w:r w:rsidRPr="00100C20">
              <w:rPr>
                <w:rFonts w:ascii="Times New Roman" w:hAnsi="Times New Roman" w:cs="Times New Roman"/>
                <w:b/>
                <w:bCs/>
                <w:sz w:val="26"/>
                <w:szCs w:val="26"/>
              </w:rPr>
              <w:t>STT</w:t>
            </w:r>
          </w:p>
        </w:tc>
        <w:tc>
          <w:tcPr>
            <w:tcW w:w="1689" w:type="dxa"/>
            <w:vAlign w:val="center"/>
          </w:tcPr>
          <w:p w14:paraId="4E153A5B" w14:textId="77777777" w:rsidR="007C3A3C" w:rsidRPr="00100C20" w:rsidRDefault="007C3A3C" w:rsidP="004B0F2A">
            <w:pPr>
              <w:spacing w:after="120" w:line="276" w:lineRule="auto"/>
              <w:ind w:left="57" w:right="57"/>
              <w:jc w:val="center"/>
              <w:rPr>
                <w:rFonts w:ascii="Times New Roman" w:hAnsi="Times New Roman" w:cs="Times New Roman"/>
                <w:b/>
                <w:bCs/>
                <w:sz w:val="26"/>
                <w:szCs w:val="26"/>
              </w:rPr>
            </w:pPr>
          </w:p>
        </w:tc>
        <w:tc>
          <w:tcPr>
            <w:tcW w:w="4004" w:type="dxa"/>
            <w:vAlign w:val="center"/>
          </w:tcPr>
          <w:p w14:paraId="6862A718" w14:textId="2F759D03" w:rsidR="007C3A3C" w:rsidRPr="00100C20" w:rsidRDefault="007C3A3C" w:rsidP="004B0F2A">
            <w:pPr>
              <w:spacing w:after="120" w:line="276" w:lineRule="auto"/>
              <w:ind w:left="57" w:right="57"/>
              <w:jc w:val="center"/>
              <w:rPr>
                <w:rFonts w:ascii="Times New Roman" w:hAnsi="Times New Roman" w:cs="Times New Roman"/>
                <w:b/>
                <w:bCs/>
                <w:sz w:val="26"/>
                <w:szCs w:val="26"/>
              </w:rPr>
            </w:pPr>
            <w:r w:rsidRPr="00100C20">
              <w:rPr>
                <w:rFonts w:ascii="Times New Roman" w:hAnsi="Times New Roman" w:cs="Times New Roman"/>
                <w:b/>
                <w:bCs/>
                <w:sz w:val="26"/>
                <w:szCs w:val="26"/>
              </w:rPr>
              <w:t>QCVN 02A:2020</w:t>
            </w:r>
          </w:p>
        </w:tc>
        <w:tc>
          <w:tcPr>
            <w:tcW w:w="4835" w:type="dxa"/>
            <w:vAlign w:val="center"/>
          </w:tcPr>
          <w:p w14:paraId="2BB12E58" w14:textId="368D70B9" w:rsidR="007C3A3C" w:rsidRPr="00100C20" w:rsidRDefault="007C3A3C" w:rsidP="004B0F2A">
            <w:pPr>
              <w:spacing w:after="120" w:line="276" w:lineRule="auto"/>
              <w:ind w:left="57" w:right="57"/>
              <w:jc w:val="center"/>
              <w:rPr>
                <w:rFonts w:ascii="Times New Roman" w:hAnsi="Times New Roman" w:cs="Times New Roman"/>
                <w:b/>
                <w:bCs/>
                <w:sz w:val="26"/>
                <w:szCs w:val="26"/>
              </w:rPr>
            </w:pPr>
            <w:r w:rsidRPr="00100C20">
              <w:rPr>
                <w:rFonts w:ascii="Times New Roman" w:hAnsi="Times New Roman" w:cs="Times New Roman"/>
                <w:b/>
                <w:bCs/>
                <w:sz w:val="26"/>
                <w:szCs w:val="26"/>
              </w:rPr>
              <w:t>Đề nghị chỉnh sửa</w:t>
            </w:r>
          </w:p>
        </w:tc>
        <w:tc>
          <w:tcPr>
            <w:tcW w:w="2642" w:type="dxa"/>
            <w:vAlign w:val="center"/>
          </w:tcPr>
          <w:p w14:paraId="474BABA7" w14:textId="2314E63F" w:rsidR="007C3A3C" w:rsidRPr="00100C20" w:rsidRDefault="007C3A3C" w:rsidP="004B0F2A">
            <w:pPr>
              <w:spacing w:after="120" w:line="276" w:lineRule="auto"/>
              <w:ind w:left="57" w:right="57"/>
              <w:jc w:val="center"/>
              <w:rPr>
                <w:rFonts w:ascii="Times New Roman" w:hAnsi="Times New Roman" w:cs="Times New Roman"/>
                <w:b/>
                <w:bCs/>
                <w:sz w:val="26"/>
                <w:szCs w:val="26"/>
              </w:rPr>
            </w:pPr>
            <w:r w:rsidRPr="00100C20">
              <w:rPr>
                <w:rFonts w:ascii="Times New Roman" w:hAnsi="Times New Roman" w:cs="Times New Roman"/>
                <w:b/>
                <w:bCs/>
                <w:sz w:val="26"/>
                <w:szCs w:val="26"/>
              </w:rPr>
              <w:t>Căn cứ</w:t>
            </w:r>
          </w:p>
        </w:tc>
      </w:tr>
      <w:tr w:rsidR="002C04A6" w:rsidRPr="00100C20" w14:paraId="73CE09E9" w14:textId="77777777" w:rsidTr="00100C20">
        <w:tc>
          <w:tcPr>
            <w:tcW w:w="823" w:type="dxa"/>
            <w:vAlign w:val="center"/>
          </w:tcPr>
          <w:p w14:paraId="035DB4D1" w14:textId="5C3742FF" w:rsidR="002C04A6" w:rsidRPr="00100C20" w:rsidRDefault="00100C20" w:rsidP="00100C20">
            <w:pPr>
              <w:pStyle w:val="ListParagraph"/>
              <w:numPr>
                <w:ilvl w:val="0"/>
                <w:numId w:val="1"/>
              </w:numPr>
              <w:spacing w:after="120" w:line="276" w:lineRule="auto"/>
              <w:ind w:left="57" w:right="57"/>
              <w:jc w:val="both"/>
              <w:rPr>
                <w:rFonts w:ascii="Times New Roman" w:hAnsi="Times New Roman" w:cs="Times New Roman"/>
                <w:b/>
                <w:bCs/>
                <w:sz w:val="26"/>
                <w:szCs w:val="26"/>
              </w:rPr>
            </w:pPr>
            <w:r>
              <w:rPr>
                <w:rFonts w:ascii="Times New Roman" w:hAnsi="Times New Roman" w:cs="Times New Roman"/>
                <w:b/>
                <w:bCs/>
                <w:sz w:val="26"/>
                <w:szCs w:val="26"/>
              </w:rPr>
              <w:t>1</w:t>
            </w:r>
          </w:p>
        </w:tc>
        <w:tc>
          <w:tcPr>
            <w:tcW w:w="1689" w:type="dxa"/>
            <w:vAlign w:val="center"/>
          </w:tcPr>
          <w:p w14:paraId="225F82FB" w14:textId="5C1F8B9F" w:rsidR="002C04A6" w:rsidRPr="00100C20" w:rsidRDefault="002C04A6" w:rsidP="00100C20">
            <w:pPr>
              <w:spacing w:after="120" w:line="276" w:lineRule="auto"/>
              <w:ind w:left="57" w:right="57"/>
              <w:jc w:val="both"/>
              <w:rPr>
                <w:rFonts w:ascii="Times New Roman" w:hAnsi="Times New Roman" w:cs="Times New Roman"/>
                <w:sz w:val="26"/>
                <w:szCs w:val="26"/>
              </w:rPr>
            </w:pPr>
            <w:r w:rsidRPr="00100C20">
              <w:rPr>
                <w:rFonts w:ascii="Times New Roman" w:hAnsi="Times New Roman" w:cs="Times New Roman"/>
                <w:sz w:val="26"/>
                <w:szCs w:val="26"/>
              </w:rPr>
              <w:t>Điểm 2.1 mục III. Quy định về quản lý</w:t>
            </w:r>
          </w:p>
        </w:tc>
        <w:tc>
          <w:tcPr>
            <w:tcW w:w="4004" w:type="dxa"/>
          </w:tcPr>
          <w:p w14:paraId="39EF1738" w14:textId="6D97774B" w:rsidR="00100C20" w:rsidRDefault="00100C20" w:rsidP="00100C20">
            <w:pPr>
              <w:spacing w:after="120" w:line="276" w:lineRule="auto"/>
              <w:ind w:left="57" w:right="57"/>
              <w:jc w:val="both"/>
              <w:rPr>
                <w:rFonts w:ascii="Times New Roman" w:hAnsi="Times New Roman" w:cs="Times New Roman"/>
                <w:sz w:val="26"/>
                <w:szCs w:val="26"/>
              </w:rPr>
            </w:pPr>
            <w:r>
              <w:rPr>
                <w:rFonts w:ascii="Times New Roman" w:hAnsi="Times New Roman" w:cs="Times New Roman"/>
                <w:sz w:val="26"/>
                <w:szCs w:val="26"/>
              </w:rPr>
              <w:t xml:space="preserve">2.1. </w:t>
            </w:r>
            <w:r w:rsidRPr="00100C20">
              <w:rPr>
                <w:rFonts w:ascii="Times New Roman" w:hAnsi="Times New Roman" w:cs="Times New Roman"/>
                <w:sz w:val="26"/>
                <w:szCs w:val="26"/>
              </w:rPr>
              <w:t>Việc đánh giá sự phù hợp</w:t>
            </w:r>
          </w:p>
          <w:p w14:paraId="3CEE6C19" w14:textId="20C4D369" w:rsidR="002C04A6" w:rsidRPr="00100C20" w:rsidRDefault="002C04A6" w:rsidP="00100C20">
            <w:pPr>
              <w:spacing w:after="120" w:line="276" w:lineRule="auto"/>
              <w:ind w:left="57" w:right="57"/>
              <w:jc w:val="both"/>
              <w:rPr>
                <w:rFonts w:ascii="Times New Roman" w:hAnsi="Times New Roman" w:cs="Times New Roman"/>
                <w:sz w:val="26"/>
                <w:szCs w:val="26"/>
              </w:rPr>
            </w:pPr>
            <w:r w:rsidRPr="00100C20">
              <w:rPr>
                <w:rFonts w:ascii="Times New Roman" w:hAnsi="Times New Roman" w:cs="Times New Roman"/>
                <w:sz w:val="26"/>
                <w:szCs w:val="26"/>
              </w:rPr>
              <w:t xml:space="preserve">Hoạt động nhập khẩu đèn huỳnh quang có chứa thủy ngân: Thực hiện theo phương thức 1 quy định tại Phụ lục II của Thông tư số 28/2012/TT-BKHCN ngày 12 tháng 12 năm 2012 của Bộ trưởng Bộ Khoa học và Công nghệ quy định về công bố hợp chuẩn, công bố hợp quy và phương thức đánh giá sự phù hợp với tiêu chuẩn, quy chuẩn kỹ thuật (sau đây gọi tắt là Thông tư số 28/2012/TT-BKHCN) và Thông tư số 02/2017/TT-BKHCN ngày 31 tháng 3 năm 2017 của Bộ trưởng Bộ Khoa học và Công nghệ sửa đổi, bổ sung một số điều của Thông tư số 28/2012/TT-BKHCN (sau đây gọi tắt là Thông tư số 28/2012/TT- BKHCN). Hoạt động sản xuất đèn huỳnh quang có chứa thủy ngân trong nước: Thực hiện theo phương thức 5 quy định </w:t>
            </w:r>
            <w:r w:rsidRPr="00100C20">
              <w:rPr>
                <w:rFonts w:ascii="Times New Roman" w:hAnsi="Times New Roman" w:cs="Times New Roman"/>
                <w:sz w:val="26"/>
                <w:szCs w:val="26"/>
              </w:rPr>
              <w:lastRenderedPageBreak/>
              <w:t>tại Phụ lục II của Thông tư số 28/2012/TT-BKHCN và Thông tư số 02/2017/TT-BKHCN.</w:t>
            </w:r>
          </w:p>
        </w:tc>
        <w:tc>
          <w:tcPr>
            <w:tcW w:w="4835" w:type="dxa"/>
          </w:tcPr>
          <w:p w14:paraId="6265FD9C" w14:textId="77777777" w:rsidR="002C04A6" w:rsidRPr="00100C20" w:rsidRDefault="002C04A6" w:rsidP="00100C20">
            <w:pPr>
              <w:spacing w:after="120" w:line="276" w:lineRule="auto"/>
              <w:ind w:left="57" w:right="57"/>
              <w:jc w:val="both"/>
              <w:rPr>
                <w:rFonts w:ascii="Times New Roman" w:hAnsi="Times New Roman" w:cs="Times New Roman"/>
                <w:sz w:val="26"/>
                <w:szCs w:val="26"/>
              </w:rPr>
            </w:pPr>
            <w:r w:rsidRPr="00100C20">
              <w:rPr>
                <w:rFonts w:ascii="Times New Roman" w:hAnsi="Times New Roman" w:cs="Times New Roman"/>
                <w:sz w:val="26"/>
                <w:szCs w:val="26"/>
              </w:rPr>
              <w:lastRenderedPageBreak/>
              <w:t>2.1. Việc đánh giá sự phù hợp</w:t>
            </w:r>
          </w:p>
          <w:p w14:paraId="7DBF3F75" w14:textId="77777777" w:rsidR="002C04A6" w:rsidRPr="00100C20" w:rsidRDefault="002C04A6" w:rsidP="00100C20">
            <w:pPr>
              <w:spacing w:after="120" w:line="276" w:lineRule="auto"/>
              <w:ind w:left="57" w:right="57"/>
              <w:jc w:val="both"/>
              <w:rPr>
                <w:rFonts w:ascii="Times New Roman" w:hAnsi="Times New Roman" w:cs="Times New Roman"/>
                <w:sz w:val="26"/>
                <w:szCs w:val="26"/>
              </w:rPr>
            </w:pPr>
            <w:r w:rsidRPr="00100C20">
              <w:rPr>
                <w:rFonts w:ascii="Times New Roman" w:hAnsi="Times New Roman" w:cs="Times New Roman"/>
                <w:sz w:val="26"/>
                <w:szCs w:val="26"/>
              </w:rPr>
              <w:t>Hoạt động nhập khẩu đèn huỳnh quan có chứa thuỷ ngân: Thực hiện theo phương thức 1 quy định tại Phụ lục II của Thông tư số 14/2026/TT-BKHCN ngày 09 tháng 4 năm 2026 của Bộ trưởng Bộ Khoa học và Công nghệ quy định về công bố hợp chuẩn, công bố hợp quy và phương thức đánh giá sự phù hợp với tiêu chuẩn, quy chuẩn kỹ thuật (sau đây gọi tắt là Thông tư số 14/2026/TT-BKHCN).</w:t>
            </w:r>
          </w:p>
          <w:p w14:paraId="21B5E170" w14:textId="2CF25A06" w:rsidR="002C04A6" w:rsidRPr="00100C20" w:rsidRDefault="002C04A6" w:rsidP="00100C20">
            <w:pPr>
              <w:spacing w:after="120" w:line="276" w:lineRule="auto"/>
              <w:ind w:left="57" w:right="57"/>
              <w:jc w:val="both"/>
              <w:rPr>
                <w:rFonts w:ascii="Times New Roman" w:hAnsi="Times New Roman" w:cs="Times New Roman"/>
                <w:b/>
                <w:bCs/>
                <w:sz w:val="26"/>
                <w:szCs w:val="26"/>
              </w:rPr>
            </w:pPr>
            <w:r w:rsidRPr="00100C20">
              <w:rPr>
                <w:rFonts w:ascii="Times New Roman" w:hAnsi="Times New Roman" w:cs="Times New Roman"/>
                <w:sz w:val="26"/>
                <w:szCs w:val="26"/>
              </w:rPr>
              <w:t>Hoạt động sản xuất đèn huỳnh quang có chứ thuỷ ngân trong nước: Thực hiện theo phương thức 5 quy định tại phụ lục II của Thông tư số 14/2026/TT-BKHCN.”</w:t>
            </w:r>
          </w:p>
        </w:tc>
        <w:tc>
          <w:tcPr>
            <w:tcW w:w="2642" w:type="dxa"/>
            <w:vMerge w:val="restart"/>
          </w:tcPr>
          <w:p w14:paraId="2082A916" w14:textId="6B366260" w:rsidR="002C04A6" w:rsidRPr="00100C20" w:rsidRDefault="002C04A6" w:rsidP="00100C20">
            <w:pPr>
              <w:pStyle w:val="NoSpacing"/>
              <w:ind w:left="57" w:right="57" w:firstLine="0"/>
              <w:rPr>
                <w:rFonts w:cs="Times New Roman"/>
                <w:bCs/>
                <w:sz w:val="26"/>
                <w:szCs w:val="26"/>
              </w:rPr>
            </w:pPr>
            <w:r w:rsidRPr="00100C20">
              <w:rPr>
                <w:rFonts w:cs="Times New Roman"/>
                <w:bCs/>
                <w:sz w:val="26"/>
                <w:szCs w:val="26"/>
                <w:lang w:val="vi-VN"/>
              </w:rPr>
              <w:t>Thông tư số 28/2012/TT-BKHCN ngày 12 tháng 12 năm 2012 của Bộ trưởng Bộ Khoa học và Công nghệ quy định về công bố hợp chuẩn, công bố hợp quy và phương thức đánh giá sự phù hợp với tiêu chuẩn, quy chuẩn kỹ thuật</w:t>
            </w:r>
            <w:r w:rsidRPr="00100C20">
              <w:rPr>
                <w:rFonts w:cs="Times New Roman"/>
                <w:bCs/>
                <w:sz w:val="26"/>
                <w:szCs w:val="26"/>
              </w:rPr>
              <w:t xml:space="preserve"> và </w:t>
            </w:r>
            <w:r w:rsidRPr="00100C20">
              <w:rPr>
                <w:rFonts w:cs="Times New Roman"/>
                <w:bCs/>
                <w:sz w:val="26"/>
                <w:szCs w:val="26"/>
                <w:lang w:val="vi-VN"/>
              </w:rPr>
              <w:t xml:space="preserve">Thông tư số 02/2017/TT-BKHCN ngày 31 tháng 3 năm 2017 của Bộ trưởng Bộ Khoa học và Công nghệ sửa đổi, bổ sung một số điều của Thông tư số 28/2012/TT-BKHCN </w:t>
            </w:r>
            <w:r w:rsidRPr="00100C20">
              <w:rPr>
                <w:rFonts w:cs="Times New Roman"/>
                <w:bCs/>
                <w:sz w:val="26"/>
                <w:szCs w:val="26"/>
              </w:rPr>
              <w:t xml:space="preserve"> đã hết hiệu lực</w:t>
            </w:r>
            <w:r w:rsidRPr="00100C20">
              <w:rPr>
                <w:rFonts w:cs="Times New Roman"/>
                <w:bCs/>
                <w:sz w:val="26"/>
                <w:szCs w:val="26"/>
              </w:rPr>
              <w:t xml:space="preserve"> </w:t>
            </w:r>
            <w:r w:rsidRPr="00100C20">
              <w:rPr>
                <w:rFonts w:cs="Times New Roman"/>
                <w:b/>
                <w:sz w:val="26"/>
                <w:szCs w:val="26"/>
              </w:rPr>
              <w:t xml:space="preserve">thay </w:t>
            </w:r>
            <w:r w:rsidRPr="00100C20">
              <w:rPr>
                <w:rFonts w:cs="Times New Roman"/>
                <w:b/>
                <w:sz w:val="26"/>
                <w:szCs w:val="26"/>
              </w:rPr>
              <w:lastRenderedPageBreak/>
              <w:t>thế bằng</w:t>
            </w:r>
            <w:r w:rsidRPr="00100C20">
              <w:rPr>
                <w:rFonts w:cs="Times New Roman"/>
                <w:bCs/>
                <w:sz w:val="26"/>
                <w:szCs w:val="26"/>
              </w:rPr>
              <w:t xml:space="preserve"> </w:t>
            </w:r>
            <w:r w:rsidRPr="00100C20">
              <w:rPr>
                <w:rFonts w:cs="Times New Roman"/>
                <w:sz w:val="26"/>
                <w:szCs w:val="26"/>
              </w:rPr>
              <w:t>Thông tư số 14/2026/TT-BKHCN</w:t>
            </w:r>
          </w:p>
          <w:p w14:paraId="59963DCF" w14:textId="77777777" w:rsidR="002C04A6" w:rsidRPr="00100C20" w:rsidRDefault="002C04A6" w:rsidP="00100C20">
            <w:pPr>
              <w:spacing w:after="120" w:line="276" w:lineRule="auto"/>
              <w:ind w:left="57" w:right="57"/>
              <w:jc w:val="both"/>
              <w:rPr>
                <w:rFonts w:ascii="Times New Roman" w:hAnsi="Times New Roman" w:cs="Times New Roman"/>
                <w:b/>
                <w:bCs/>
                <w:sz w:val="26"/>
                <w:szCs w:val="26"/>
              </w:rPr>
            </w:pPr>
          </w:p>
        </w:tc>
      </w:tr>
      <w:tr w:rsidR="002C04A6" w:rsidRPr="00100C20" w14:paraId="319E9EBA" w14:textId="77777777" w:rsidTr="00100C20">
        <w:tc>
          <w:tcPr>
            <w:tcW w:w="823" w:type="dxa"/>
            <w:vAlign w:val="center"/>
          </w:tcPr>
          <w:p w14:paraId="7235923F" w14:textId="4F1208C0" w:rsidR="002C04A6" w:rsidRPr="00100C20" w:rsidRDefault="00100C20" w:rsidP="00100C20">
            <w:pPr>
              <w:pStyle w:val="ListParagraph"/>
              <w:numPr>
                <w:ilvl w:val="0"/>
                <w:numId w:val="1"/>
              </w:numPr>
              <w:spacing w:after="120" w:line="276" w:lineRule="auto"/>
              <w:ind w:left="57" w:right="57"/>
              <w:jc w:val="both"/>
              <w:rPr>
                <w:rFonts w:ascii="Times New Roman" w:hAnsi="Times New Roman" w:cs="Times New Roman"/>
                <w:b/>
                <w:bCs/>
                <w:sz w:val="26"/>
                <w:szCs w:val="26"/>
              </w:rPr>
            </w:pPr>
            <w:r>
              <w:rPr>
                <w:rFonts w:ascii="Times New Roman" w:hAnsi="Times New Roman" w:cs="Times New Roman"/>
                <w:b/>
                <w:bCs/>
                <w:sz w:val="26"/>
                <w:szCs w:val="26"/>
              </w:rPr>
              <w:lastRenderedPageBreak/>
              <w:t>2</w:t>
            </w:r>
          </w:p>
        </w:tc>
        <w:tc>
          <w:tcPr>
            <w:tcW w:w="1689" w:type="dxa"/>
            <w:vAlign w:val="center"/>
          </w:tcPr>
          <w:p w14:paraId="0C38819C" w14:textId="06B9995B" w:rsidR="002C04A6" w:rsidRPr="00100C20" w:rsidRDefault="002C04A6" w:rsidP="00100C20">
            <w:pPr>
              <w:spacing w:after="120" w:line="276" w:lineRule="auto"/>
              <w:ind w:left="57" w:right="57"/>
              <w:jc w:val="both"/>
              <w:rPr>
                <w:rFonts w:ascii="Times New Roman" w:hAnsi="Times New Roman" w:cs="Times New Roman"/>
                <w:sz w:val="26"/>
                <w:szCs w:val="26"/>
              </w:rPr>
            </w:pPr>
            <w:r w:rsidRPr="00100C20">
              <w:rPr>
                <w:rFonts w:ascii="Times New Roman" w:hAnsi="Times New Roman" w:cs="Times New Roman"/>
                <w:sz w:val="26"/>
                <w:szCs w:val="26"/>
              </w:rPr>
              <w:t>Điểm 3 mục III. Quy định về quản lý</w:t>
            </w:r>
          </w:p>
        </w:tc>
        <w:tc>
          <w:tcPr>
            <w:tcW w:w="4004" w:type="dxa"/>
          </w:tcPr>
          <w:p w14:paraId="26F5E8BD" w14:textId="2EC93C08" w:rsidR="002C04A6" w:rsidRPr="00100C20" w:rsidRDefault="002C04A6" w:rsidP="00100C20">
            <w:pPr>
              <w:spacing w:after="120" w:line="276" w:lineRule="auto"/>
              <w:ind w:left="57" w:right="57"/>
              <w:jc w:val="both"/>
              <w:rPr>
                <w:rFonts w:ascii="Times New Roman" w:hAnsi="Times New Roman" w:cs="Times New Roman"/>
                <w:sz w:val="26"/>
                <w:szCs w:val="26"/>
              </w:rPr>
            </w:pPr>
            <w:r w:rsidRPr="00100C20">
              <w:rPr>
                <w:rFonts w:ascii="Times New Roman" w:hAnsi="Times New Roman" w:cs="Times New Roman"/>
                <w:sz w:val="26"/>
                <w:szCs w:val="26"/>
              </w:rPr>
              <w:t xml:space="preserve">3. </w:t>
            </w:r>
            <w:r w:rsidRPr="00100C20">
              <w:rPr>
                <w:rFonts w:ascii="Times New Roman" w:hAnsi="Times New Roman" w:cs="Times New Roman"/>
                <w:sz w:val="26"/>
                <w:szCs w:val="26"/>
              </w:rPr>
              <w:t>Quy định về sử dụng dấu hợp quy</w:t>
            </w:r>
          </w:p>
          <w:p w14:paraId="6ED107EC" w14:textId="6537C10C" w:rsidR="002C04A6" w:rsidRPr="00100C20" w:rsidRDefault="002C04A6" w:rsidP="00100C20">
            <w:pPr>
              <w:ind w:left="57" w:right="57"/>
              <w:jc w:val="both"/>
              <w:rPr>
                <w:rFonts w:ascii="Times New Roman" w:hAnsi="Times New Roman" w:cs="Times New Roman"/>
                <w:sz w:val="26"/>
                <w:szCs w:val="26"/>
              </w:rPr>
            </w:pPr>
            <w:r w:rsidRPr="00100C20">
              <w:rPr>
                <w:rFonts w:ascii="Times New Roman" w:hAnsi="Times New Roman" w:cs="Times New Roman"/>
                <w:sz w:val="26"/>
                <w:szCs w:val="26"/>
              </w:rPr>
              <w:t>Việc sử dụng dấu hợp quy phải tuân thủ theo khoản 2 Điều 4 Thông tư số 28/2012/TT-BKHCN.</w:t>
            </w:r>
          </w:p>
        </w:tc>
        <w:tc>
          <w:tcPr>
            <w:tcW w:w="4835" w:type="dxa"/>
          </w:tcPr>
          <w:p w14:paraId="2C6A4026" w14:textId="77777777" w:rsidR="002C04A6" w:rsidRPr="00100C20" w:rsidRDefault="002C04A6" w:rsidP="00100C20">
            <w:pPr>
              <w:spacing w:after="120" w:line="276" w:lineRule="auto"/>
              <w:ind w:left="57" w:right="57"/>
              <w:jc w:val="both"/>
              <w:rPr>
                <w:rFonts w:ascii="Times New Roman" w:hAnsi="Times New Roman" w:cs="Times New Roman"/>
                <w:sz w:val="26"/>
                <w:szCs w:val="26"/>
              </w:rPr>
            </w:pPr>
            <w:r w:rsidRPr="00100C20">
              <w:rPr>
                <w:rFonts w:ascii="Times New Roman" w:hAnsi="Times New Roman" w:cs="Times New Roman"/>
                <w:sz w:val="26"/>
                <w:szCs w:val="26"/>
              </w:rPr>
              <w:t>3. Quy định về sử dụng dấu hợp quy</w:t>
            </w:r>
          </w:p>
          <w:p w14:paraId="6429E929" w14:textId="7910D957" w:rsidR="002C04A6" w:rsidRPr="00100C20" w:rsidRDefault="002C04A6" w:rsidP="00100C20">
            <w:pPr>
              <w:spacing w:after="120" w:line="276" w:lineRule="auto"/>
              <w:ind w:left="57" w:right="57"/>
              <w:jc w:val="both"/>
              <w:rPr>
                <w:rFonts w:ascii="Times New Roman" w:hAnsi="Times New Roman" w:cs="Times New Roman"/>
                <w:sz w:val="26"/>
                <w:szCs w:val="26"/>
              </w:rPr>
            </w:pPr>
            <w:r w:rsidRPr="00100C20">
              <w:rPr>
                <w:rFonts w:ascii="Times New Roman" w:hAnsi="Times New Roman" w:cs="Times New Roman"/>
                <w:sz w:val="26"/>
                <w:szCs w:val="26"/>
              </w:rPr>
              <w:t>Viêc sử dụng dấu hợp quy phải tuân thủ theo khoản 2 Điều 4 Thông tư số 14/2026/TT-BKHCN</w:t>
            </w:r>
          </w:p>
        </w:tc>
        <w:tc>
          <w:tcPr>
            <w:tcW w:w="2642" w:type="dxa"/>
            <w:vMerge/>
            <w:vAlign w:val="center"/>
          </w:tcPr>
          <w:p w14:paraId="36E2B09F" w14:textId="77777777" w:rsidR="002C04A6" w:rsidRPr="00100C20" w:rsidRDefault="002C04A6" w:rsidP="00100C20">
            <w:pPr>
              <w:spacing w:after="120" w:line="276" w:lineRule="auto"/>
              <w:ind w:left="57" w:right="57"/>
              <w:jc w:val="both"/>
              <w:rPr>
                <w:rFonts w:ascii="Times New Roman" w:hAnsi="Times New Roman" w:cs="Times New Roman"/>
                <w:b/>
                <w:bCs/>
                <w:sz w:val="26"/>
                <w:szCs w:val="26"/>
              </w:rPr>
            </w:pPr>
          </w:p>
        </w:tc>
      </w:tr>
      <w:tr w:rsidR="007C3A3C" w:rsidRPr="00100C20" w14:paraId="0E7CEEE0" w14:textId="77777777" w:rsidTr="00100C20">
        <w:tc>
          <w:tcPr>
            <w:tcW w:w="823" w:type="dxa"/>
            <w:vAlign w:val="center"/>
          </w:tcPr>
          <w:p w14:paraId="12566C54" w14:textId="01E69EF9" w:rsidR="007C3A3C" w:rsidRPr="00100C20" w:rsidRDefault="00100C20" w:rsidP="00100C20">
            <w:pPr>
              <w:pStyle w:val="ListParagraph"/>
              <w:numPr>
                <w:ilvl w:val="0"/>
                <w:numId w:val="1"/>
              </w:numPr>
              <w:spacing w:after="120" w:line="276" w:lineRule="auto"/>
              <w:ind w:left="57" w:right="57"/>
              <w:jc w:val="both"/>
              <w:rPr>
                <w:rFonts w:ascii="Times New Roman" w:hAnsi="Times New Roman" w:cs="Times New Roman"/>
                <w:b/>
                <w:bCs/>
                <w:sz w:val="26"/>
                <w:szCs w:val="26"/>
              </w:rPr>
            </w:pPr>
            <w:r>
              <w:rPr>
                <w:rFonts w:ascii="Times New Roman" w:hAnsi="Times New Roman" w:cs="Times New Roman"/>
                <w:b/>
                <w:bCs/>
                <w:sz w:val="26"/>
                <w:szCs w:val="26"/>
              </w:rPr>
              <w:t>3</w:t>
            </w:r>
          </w:p>
        </w:tc>
        <w:tc>
          <w:tcPr>
            <w:tcW w:w="1689" w:type="dxa"/>
            <w:vAlign w:val="center"/>
          </w:tcPr>
          <w:p w14:paraId="008B93CD" w14:textId="5AF401DA" w:rsidR="007C3A3C" w:rsidRPr="00100C20" w:rsidRDefault="002C04A6" w:rsidP="00100C20">
            <w:pPr>
              <w:spacing w:after="120" w:line="276" w:lineRule="auto"/>
              <w:ind w:left="57" w:right="57"/>
              <w:jc w:val="both"/>
              <w:rPr>
                <w:rFonts w:ascii="Times New Roman" w:hAnsi="Times New Roman" w:cs="Times New Roman"/>
                <w:sz w:val="26"/>
                <w:szCs w:val="26"/>
              </w:rPr>
            </w:pPr>
            <w:r w:rsidRPr="00100C20">
              <w:rPr>
                <w:rFonts w:ascii="Times New Roman" w:hAnsi="Times New Roman" w:cs="Times New Roman"/>
                <w:sz w:val="26"/>
                <w:szCs w:val="26"/>
              </w:rPr>
              <w:t>Điểm 2 Mục IV. Trách nhiệm của tổ chức, các nhân</w:t>
            </w:r>
          </w:p>
        </w:tc>
        <w:tc>
          <w:tcPr>
            <w:tcW w:w="4004" w:type="dxa"/>
          </w:tcPr>
          <w:p w14:paraId="18867C1B" w14:textId="7C0566CC" w:rsidR="007C3A3C" w:rsidRPr="00100C20" w:rsidRDefault="00100C20" w:rsidP="00100C20">
            <w:pPr>
              <w:spacing w:after="120" w:line="276" w:lineRule="auto"/>
              <w:ind w:left="57" w:right="57"/>
              <w:jc w:val="both"/>
              <w:rPr>
                <w:rFonts w:ascii="Times New Roman" w:hAnsi="Times New Roman" w:cs="Times New Roman"/>
                <w:sz w:val="26"/>
                <w:szCs w:val="26"/>
              </w:rPr>
            </w:pPr>
            <w:r>
              <w:rPr>
                <w:rFonts w:ascii="Times New Roman" w:hAnsi="Times New Roman" w:cs="Times New Roman"/>
                <w:sz w:val="26"/>
                <w:szCs w:val="26"/>
              </w:rPr>
              <w:t xml:space="preserve">2. </w:t>
            </w:r>
            <w:r w:rsidR="002C04A6" w:rsidRPr="00100C20">
              <w:rPr>
                <w:rFonts w:ascii="Times New Roman" w:hAnsi="Times New Roman" w:cs="Times New Roman"/>
                <w:sz w:val="26"/>
                <w:szCs w:val="26"/>
              </w:rPr>
              <w:t>Tổ chức, cá nhân sản xuất, nhập khẩu, kinh doanh các loại đèn huỳnh quang có chứa thủy ngân sau khi công bố hợp quy phải đăng ký bản công bố hợp quy tại Sở Công Thương nơi tổ chức, cá nhân đăng ký hoạt động sản xuất, kinh doanh, nhập khẩu theo quy định tại khoản 2 Điều 12 Thông tư số 36/2019/TT-BCT ngày 29 tháng 11 năm 2019 của Bộ trưởng Bộ Công Thương quy định quản lý chất lượng sản phẩm, hàng hóa thuộc trách nhiệm quản lý của Bộ Công Thương.</w:t>
            </w:r>
          </w:p>
        </w:tc>
        <w:tc>
          <w:tcPr>
            <w:tcW w:w="4835" w:type="dxa"/>
          </w:tcPr>
          <w:p w14:paraId="7A53C403" w14:textId="2B37C707" w:rsidR="007C3A3C" w:rsidRPr="00100C20" w:rsidRDefault="007C3A3C" w:rsidP="00100C20">
            <w:pPr>
              <w:spacing w:after="120" w:line="276" w:lineRule="auto"/>
              <w:ind w:left="57" w:right="57"/>
              <w:jc w:val="both"/>
              <w:rPr>
                <w:rFonts w:ascii="Times New Roman" w:hAnsi="Times New Roman" w:cs="Times New Roman"/>
                <w:b/>
                <w:bCs/>
                <w:sz w:val="26"/>
                <w:szCs w:val="26"/>
              </w:rPr>
            </w:pPr>
            <w:r w:rsidRPr="00100C20">
              <w:rPr>
                <w:rFonts w:ascii="Times New Roman" w:hAnsi="Times New Roman" w:cs="Times New Roman"/>
                <w:sz w:val="26"/>
                <w:szCs w:val="26"/>
              </w:rPr>
              <w:t>2. Tổ chức, cá nhân sản xuất, nhập khẩu, kinh doanh các loại đèn huỳnh quang có chứa thuỷ ngân sau quy định tại Phụ lục của Quy chuẩn này thực hiện đăng ký bản công bố hợp quy thông qua Cơ sở dữ liệu quốc gia về tiêu chuẩn, đo lường, chất lượng. Trường hợp Cơ sở dữ liệu quốc gia về tiêu chuẩn, đo lường, chất lượng chưa đáp ứng yêu cầu về hạ tầng kỹ thuật hoặc không thể thực hiện do sự cố kỹ thuật, việc đăng ký bản công bố hợp quy được thực hiện theo hình thức nộp trực tiếp hoặc thông qua dịch vụ bưu chính theo quy định tại Điều 13 Thông tư số 14/2026/TT-BKHCN ngày 09 tháng 4 năm 2026 của Bộ trưởng Bộ Khoa học và Công nghệ quy định về công bố hợp chuẩn, công bố hợp quy và phương thức đánh giá sự phù hợp với tiêu chuẩn, quy chuẩn kỹ thuật.</w:t>
            </w:r>
          </w:p>
        </w:tc>
        <w:tc>
          <w:tcPr>
            <w:tcW w:w="2642" w:type="dxa"/>
            <w:vAlign w:val="center"/>
          </w:tcPr>
          <w:p w14:paraId="7A93ADBC" w14:textId="44C6BEEA" w:rsidR="007C3A3C" w:rsidRPr="00100C20" w:rsidRDefault="00100C20" w:rsidP="00100C20">
            <w:pPr>
              <w:spacing w:after="120" w:line="276" w:lineRule="auto"/>
              <w:ind w:left="57" w:right="57"/>
              <w:jc w:val="both"/>
              <w:rPr>
                <w:rFonts w:ascii="Times New Roman" w:hAnsi="Times New Roman" w:cs="Times New Roman"/>
                <w:sz w:val="26"/>
                <w:szCs w:val="26"/>
              </w:rPr>
            </w:pPr>
            <w:r w:rsidRPr="00100C20">
              <w:rPr>
                <w:rFonts w:ascii="Times New Roman" w:hAnsi="Times New Roman" w:cs="Times New Roman"/>
                <w:sz w:val="26"/>
                <w:szCs w:val="26"/>
              </w:rPr>
              <w:t xml:space="preserve">Update theo văn bản mới nhất là </w:t>
            </w:r>
            <w:r w:rsidRPr="00100C20">
              <w:rPr>
                <w:rFonts w:ascii="Times New Roman" w:hAnsi="Times New Roman" w:cs="Times New Roman"/>
                <w:sz w:val="26"/>
                <w:szCs w:val="26"/>
              </w:rPr>
              <w:t>Thông tư số 14/2026/TT-BKHCN</w:t>
            </w:r>
          </w:p>
        </w:tc>
      </w:tr>
      <w:tr w:rsidR="007C3A3C" w:rsidRPr="00100C20" w14:paraId="7264E4FE" w14:textId="77777777" w:rsidTr="00100C20">
        <w:tc>
          <w:tcPr>
            <w:tcW w:w="823" w:type="dxa"/>
            <w:vAlign w:val="center"/>
          </w:tcPr>
          <w:p w14:paraId="23FFB267" w14:textId="076D552E" w:rsidR="007C3A3C" w:rsidRPr="00100C20" w:rsidRDefault="00100C20" w:rsidP="00100C20">
            <w:pPr>
              <w:pStyle w:val="ListParagraph"/>
              <w:numPr>
                <w:ilvl w:val="0"/>
                <w:numId w:val="1"/>
              </w:numPr>
              <w:spacing w:after="120" w:line="276" w:lineRule="auto"/>
              <w:ind w:left="57" w:right="57"/>
              <w:jc w:val="both"/>
              <w:rPr>
                <w:rFonts w:ascii="Times New Roman" w:hAnsi="Times New Roman" w:cs="Times New Roman"/>
                <w:b/>
                <w:bCs/>
                <w:sz w:val="26"/>
                <w:szCs w:val="26"/>
              </w:rPr>
            </w:pPr>
            <w:r w:rsidRPr="00100C20">
              <w:rPr>
                <w:rFonts w:ascii="Times New Roman" w:hAnsi="Times New Roman" w:cs="Times New Roman"/>
                <w:b/>
                <w:bCs/>
                <w:sz w:val="26"/>
                <w:szCs w:val="26"/>
              </w:rPr>
              <w:lastRenderedPageBreak/>
              <w:t>4</w:t>
            </w:r>
          </w:p>
        </w:tc>
        <w:tc>
          <w:tcPr>
            <w:tcW w:w="1689" w:type="dxa"/>
            <w:vAlign w:val="center"/>
          </w:tcPr>
          <w:p w14:paraId="12B71D4A" w14:textId="6A64E35D" w:rsidR="007C3A3C" w:rsidRPr="00100C20" w:rsidRDefault="002C04A6" w:rsidP="00100C20">
            <w:pPr>
              <w:spacing w:after="120" w:line="276" w:lineRule="auto"/>
              <w:ind w:left="57" w:right="57"/>
              <w:jc w:val="both"/>
              <w:rPr>
                <w:rFonts w:ascii="Times New Roman" w:hAnsi="Times New Roman" w:cs="Times New Roman"/>
                <w:sz w:val="26"/>
                <w:szCs w:val="26"/>
              </w:rPr>
            </w:pPr>
            <w:r w:rsidRPr="00100C20">
              <w:rPr>
                <w:rFonts w:ascii="Times New Roman" w:hAnsi="Times New Roman" w:cs="Times New Roman"/>
                <w:sz w:val="26"/>
                <w:szCs w:val="26"/>
              </w:rPr>
              <w:t>Điểm 2 mục V. Tổ chức thực hiện</w:t>
            </w:r>
          </w:p>
        </w:tc>
        <w:tc>
          <w:tcPr>
            <w:tcW w:w="4004" w:type="dxa"/>
          </w:tcPr>
          <w:p w14:paraId="236BD909" w14:textId="6969C193" w:rsidR="007C3A3C" w:rsidRPr="00100C20" w:rsidRDefault="002C04A6" w:rsidP="00100C20">
            <w:pPr>
              <w:spacing w:after="120" w:line="276" w:lineRule="auto"/>
              <w:ind w:left="57" w:right="57"/>
              <w:jc w:val="both"/>
              <w:rPr>
                <w:rFonts w:ascii="Times New Roman" w:hAnsi="Times New Roman" w:cs="Times New Roman"/>
                <w:sz w:val="26"/>
                <w:szCs w:val="26"/>
              </w:rPr>
            </w:pPr>
            <w:r w:rsidRPr="00100C20">
              <w:rPr>
                <w:rFonts w:ascii="Times New Roman" w:hAnsi="Times New Roman" w:cs="Times New Roman"/>
                <w:sz w:val="26"/>
                <w:szCs w:val="26"/>
              </w:rPr>
              <w:t>2. Tổng cục Quản lý thị trường có trách nhiệm tổ chức và chỉ đạo lực lượng Quản lý thị trường kiểm tra, kiểm soát và xử lý vi phạm quy định về chất lượng các loại đèn huỳnh quang lưu thông trên thị trường theo quy định của pháp luật và Quy chuẩn này.</w:t>
            </w:r>
          </w:p>
        </w:tc>
        <w:tc>
          <w:tcPr>
            <w:tcW w:w="4835" w:type="dxa"/>
          </w:tcPr>
          <w:p w14:paraId="7B71E9E9" w14:textId="34961105" w:rsidR="007C3A3C" w:rsidRPr="00100C20" w:rsidRDefault="007C3A3C" w:rsidP="00100C20">
            <w:pPr>
              <w:spacing w:after="120" w:line="276" w:lineRule="auto"/>
              <w:ind w:left="57" w:right="57"/>
              <w:jc w:val="both"/>
              <w:rPr>
                <w:rFonts w:ascii="Times New Roman" w:hAnsi="Times New Roman" w:cs="Times New Roman"/>
                <w:sz w:val="26"/>
                <w:szCs w:val="26"/>
              </w:rPr>
            </w:pPr>
            <w:r w:rsidRPr="00100C20">
              <w:rPr>
                <w:rFonts w:ascii="Times New Roman" w:hAnsi="Times New Roman" w:cs="Times New Roman"/>
                <w:sz w:val="26"/>
                <w:szCs w:val="26"/>
              </w:rPr>
              <w:t xml:space="preserve">2. </w:t>
            </w:r>
            <w:r w:rsidRPr="00100C20">
              <w:rPr>
                <w:rFonts w:ascii="Times New Roman" w:hAnsi="Times New Roman" w:cs="Times New Roman"/>
                <w:sz w:val="26"/>
                <w:szCs w:val="26"/>
                <w:lang w:val="en-GB"/>
              </w:rPr>
              <w:t xml:space="preserve">Cục Quản lý và phát triển thị trường trong nước có trách nhiệm tổ chức và chỉ đạo lực lượng quản lý chất lượng sản phẩm, hàng hoá của uỷ ban nhân dân cấp tỉnh </w:t>
            </w:r>
            <w:r w:rsidRPr="00100C20">
              <w:rPr>
                <w:rFonts w:ascii="Times New Roman" w:hAnsi="Times New Roman" w:cs="Times New Roman"/>
                <w:sz w:val="26"/>
                <w:szCs w:val="26"/>
              </w:rPr>
              <w:t>về chất lượng các loại đèn huỳnh quang lưu thông trên thị trường theo quy định của pháp luật và Quy chuẩn này</w:t>
            </w:r>
          </w:p>
        </w:tc>
        <w:tc>
          <w:tcPr>
            <w:tcW w:w="2642" w:type="dxa"/>
            <w:vAlign w:val="center"/>
          </w:tcPr>
          <w:p w14:paraId="2E9D680F" w14:textId="77777777" w:rsidR="00100C20" w:rsidRPr="00100C20" w:rsidRDefault="00100C20" w:rsidP="00100C20">
            <w:pPr>
              <w:pStyle w:val="NoSpacing"/>
              <w:ind w:left="57" w:right="57" w:firstLine="0"/>
              <w:rPr>
                <w:rFonts w:cs="Times New Roman"/>
                <w:sz w:val="26"/>
                <w:szCs w:val="26"/>
              </w:rPr>
            </w:pPr>
            <w:r w:rsidRPr="00100C20">
              <w:rPr>
                <w:rFonts w:cs="Times New Roman"/>
                <w:sz w:val="26"/>
                <w:szCs w:val="26"/>
              </w:rPr>
              <w:t>Theo Nghị định 40/2025/NĐ-CP Quy định chức năng, nhiệm vụ, quyền hạn và cơ cấu tổ chức của Bộ Công thương.</w:t>
            </w:r>
          </w:p>
          <w:p w14:paraId="5C277FF6" w14:textId="77777777" w:rsidR="007C3A3C" w:rsidRPr="00100C20" w:rsidRDefault="007C3A3C" w:rsidP="00100C20">
            <w:pPr>
              <w:spacing w:after="120" w:line="276" w:lineRule="auto"/>
              <w:ind w:left="57" w:right="57"/>
              <w:jc w:val="both"/>
              <w:rPr>
                <w:rFonts w:ascii="Times New Roman" w:hAnsi="Times New Roman" w:cs="Times New Roman"/>
                <w:sz w:val="26"/>
                <w:szCs w:val="26"/>
              </w:rPr>
            </w:pPr>
          </w:p>
        </w:tc>
      </w:tr>
    </w:tbl>
    <w:p w14:paraId="109322DF" w14:textId="3BF89FAC" w:rsidR="007C3A3C" w:rsidRPr="000D6ED6" w:rsidRDefault="007C3A3C" w:rsidP="007C3A3C">
      <w:pPr>
        <w:spacing w:after="120" w:line="276" w:lineRule="auto"/>
        <w:ind w:right="-285" w:hanging="426"/>
        <w:jc w:val="center"/>
        <w:rPr>
          <w:rFonts w:ascii="Times New Roman" w:hAnsi="Times New Roman" w:cs="Times New Roman"/>
          <w:b/>
          <w:bCs/>
        </w:rPr>
      </w:pPr>
    </w:p>
    <w:p w14:paraId="428D3BDA" w14:textId="77AD8680" w:rsidR="007C3A3C" w:rsidRDefault="007C3A3C"/>
    <w:sectPr w:rsidR="007C3A3C" w:rsidSect="007C3A3C">
      <w:pgSz w:w="16838" w:h="11906" w:orient="landscape"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816474"/>
    <w:multiLevelType w:val="hybridMultilevel"/>
    <w:tmpl w:val="070CC5C6"/>
    <w:lvl w:ilvl="0" w:tplc="0409000F">
      <w:start w:val="1"/>
      <w:numFmt w:val="decimal"/>
      <w:lvlText w:val="%1."/>
      <w:lvlJc w:val="left"/>
      <w:pPr>
        <w:ind w:left="764" w:hanging="360"/>
      </w:pPr>
    </w:lvl>
    <w:lvl w:ilvl="1" w:tplc="04090019" w:tentative="1">
      <w:start w:val="1"/>
      <w:numFmt w:val="lowerLetter"/>
      <w:lvlText w:val="%2."/>
      <w:lvlJc w:val="left"/>
      <w:pPr>
        <w:ind w:left="1484" w:hanging="360"/>
      </w:pPr>
    </w:lvl>
    <w:lvl w:ilvl="2" w:tplc="0409001B" w:tentative="1">
      <w:start w:val="1"/>
      <w:numFmt w:val="lowerRoman"/>
      <w:lvlText w:val="%3."/>
      <w:lvlJc w:val="right"/>
      <w:pPr>
        <w:ind w:left="2204" w:hanging="180"/>
      </w:pPr>
    </w:lvl>
    <w:lvl w:ilvl="3" w:tplc="0409000F" w:tentative="1">
      <w:start w:val="1"/>
      <w:numFmt w:val="decimal"/>
      <w:lvlText w:val="%4."/>
      <w:lvlJc w:val="left"/>
      <w:pPr>
        <w:ind w:left="2924" w:hanging="360"/>
      </w:pPr>
    </w:lvl>
    <w:lvl w:ilvl="4" w:tplc="04090019" w:tentative="1">
      <w:start w:val="1"/>
      <w:numFmt w:val="lowerLetter"/>
      <w:lvlText w:val="%5."/>
      <w:lvlJc w:val="left"/>
      <w:pPr>
        <w:ind w:left="3644" w:hanging="360"/>
      </w:pPr>
    </w:lvl>
    <w:lvl w:ilvl="5" w:tplc="0409001B" w:tentative="1">
      <w:start w:val="1"/>
      <w:numFmt w:val="lowerRoman"/>
      <w:lvlText w:val="%6."/>
      <w:lvlJc w:val="right"/>
      <w:pPr>
        <w:ind w:left="4364" w:hanging="180"/>
      </w:pPr>
    </w:lvl>
    <w:lvl w:ilvl="6" w:tplc="0409000F" w:tentative="1">
      <w:start w:val="1"/>
      <w:numFmt w:val="decimal"/>
      <w:lvlText w:val="%7."/>
      <w:lvlJc w:val="left"/>
      <w:pPr>
        <w:ind w:left="5084" w:hanging="360"/>
      </w:pPr>
    </w:lvl>
    <w:lvl w:ilvl="7" w:tplc="04090019" w:tentative="1">
      <w:start w:val="1"/>
      <w:numFmt w:val="lowerLetter"/>
      <w:lvlText w:val="%8."/>
      <w:lvlJc w:val="left"/>
      <w:pPr>
        <w:ind w:left="5804" w:hanging="360"/>
      </w:pPr>
    </w:lvl>
    <w:lvl w:ilvl="8" w:tplc="0409001B" w:tentative="1">
      <w:start w:val="1"/>
      <w:numFmt w:val="lowerRoman"/>
      <w:lvlText w:val="%9."/>
      <w:lvlJc w:val="right"/>
      <w:pPr>
        <w:ind w:left="6524" w:hanging="180"/>
      </w:pPr>
    </w:lvl>
  </w:abstractNum>
  <w:num w:numId="1" w16cid:durableId="1659845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A3C"/>
    <w:rsid w:val="00100C20"/>
    <w:rsid w:val="002C04A6"/>
    <w:rsid w:val="004B0F2A"/>
    <w:rsid w:val="007C3A3C"/>
    <w:rsid w:val="00E7480F"/>
    <w:rsid w:val="00FB7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98491"/>
  <w15:chartTrackingRefBased/>
  <w15:docId w15:val="{85AA43F4-B134-4D87-8012-1E6FF0DF4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A3C"/>
  </w:style>
  <w:style w:type="paragraph" w:styleId="Heading1">
    <w:name w:val="heading 1"/>
    <w:basedOn w:val="Normal"/>
    <w:next w:val="Normal"/>
    <w:link w:val="Heading1Char"/>
    <w:uiPriority w:val="9"/>
    <w:qFormat/>
    <w:rsid w:val="007C3A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3A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3A3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3A3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C3A3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C3A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3A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3A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3A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3A3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3A3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3A3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3A3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C3A3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C3A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3A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3A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3A3C"/>
    <w:rPr>
      <w:rFonts w:eastAsiaTheme="majorEastAsia" w:cstheme="majorBidi"/>
      <w:color w:val="272727" w:themeColor="text1" w:themeTint="D8"/>
    </w:rPr>
  </w:style>
  <w:style w:type="paragraph" w:styleId="Title">
    <w:name w:val="Title"/>
    <w:basedOn w:val="Normal"/>
    <w:next w:val="Normal"/>
    <w:link w:val="TitleChar"/>
    <w:uiPriority w:val="10"/>
    <w:qFormat/>
    <w:rsid w:val="007C3A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3A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3A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3A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3A3C"/>
    <w:pPr>
      <w:spacing w:before="160"/>
      <w:jc w:val="center"/>
    </w:pPr>
    <w:rPr>
      <w:i/>
      <w:iCs/>
      <w:color w:val="404040" w:themeColor="text1" w:themeTint="BF"/>
    </w:rPr>
  </w:style>
  <w:style w:type="character" w:customStyle="1" w:styleId="QuoteChar">
    <w:name w:val="Quote Char"/>
    <w:basedOn w:val="DefaultParagraphFont"/>
    <w:link w:val="Quote"/>
    <w:uiPriority w:val="29"/>
    <w:rsid w:val="007C3A3C"/>
    <w:rPr>
      <w:i/>
      <w:iCs/>
      <w:color w:val="404040" w:themeColor="text1" w:themeTint="BF"/>
    </w:rPr>
  </w:style>
  <w:style w:type="paragraph" w:styleId="ListParagraph">
    <w:name w:val="List Paragraph"/>
    <w:basedOn w:val="Normal"/>
    <w:uiPriority w:val="34"/>
    <w:qFormat/>
    <w:rsid w:val="007C3A3C"/>
    <w:pPr>
      <w:ind w:left="720"/>
      <w:contextualSpacing/>
    </w:pPr>
  </w:style>
  <w:style w:type="character" w:styleId="IntenseEmphasis">
    <w:name w:val="Intense Emphasis"/>
    <w:basedOn w:val="DefaultParagraphFont"/>
    <w:uiPriority w:val="21"/>
    <w:qFormat/>
    <w:rsid w:val="007C3A3C"/>
    <w:rPr>
      <w:i/>
      <w:iCs/>
      <w:color w:val="2F5496" w:themeColor="accent1" w:themeShade="BF"/>
    </w:rPr>
  </w:style>
  <w:style w:type="paragraph" w:styleId="IntenseQuote">
    <w:name w:val="Intense Quote"/>
    <w:basedOn w:val="Normal"/>
    <w:next w:val="Normal"/>
    <w:link w:val="IntenseQuoteChar"/>
    <w:uiPriority w:val="30"/>
    <w:qFormat/>
    <w:rsid w:val="007C3A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3A3C"/>
    <w:rPr>
      <w:i/>
      <w:iCs/>
      <w:color w:val="2F5496" w:themeColor="accent1" w:themeShade="BF"/>
    </w:rPr>
  </w:style>
  <w:style w:type="character" w:styleId="IntenseReference">
    <w:name w:val="Intense Reference"/>
    <w:basedOn w:val="DefaultParagraphFont"/>
    <w:uiPriority w:val="32"/>
    <w:qFormat/>
    <w:rsid w:val="007C3A3C"/>
    <w:rPr>
      <w:b/>
      <w:bCs/>
      <w:smallCaps/>
      <w:color w:val="2F5496" w:themeColor="accent1" w:themeShade="BF"/>
      <w:spacing w:val="5"/>
    </w:rPr>
  </w:style>
  <w:style w:type="table" w:styleId="TableGrid">
    <w:name w:val="Table Grid"/>
    <w:basedOn w:val="TableNormal"/>
    <w:uiPriority w:val="39"/>
    <w:rsid w:val="007C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text"/>
    <w:uiPriority w:val="1"/>
    <w:qFormat/>
    <w:rsid w:val="002C04A6"/>
    <w:pPr>
      <w:spacing w:before="120" w:after="120" w:line="276" w:lineRule="auto"/>
      <w:ind w:firstLine="567"/>
      <w:jc w:val="both"/>
    </w:pPr>
    <w:rPr>
      <w:rFonts w:ascii="Times New Roman" w:hAnsi="Times New Roman"/>
      <w:kern w:val="0"/>
      <w:sz w:val="28"/>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633</Words>
  <Characters>3611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2026-04-24T08:11:00Z</dcterms:created>
  <dcterms:modified xsi:type="dcterms:W3CDTF">2026-04-24T08:39:00Z</dcterms:modified>
</cp:coreProperties>
</file>